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452 vom 30. Januar 1991</w:t>
      </w:r>
    </w:p>
    <w:p>
      <w:r>
        <w:t>Bundesgericht (BGE), 1991-01-30, DE</w:t>
      </w:r>
    </w:p>
    <w:p>
      <w:r>
        <w:rPr>
          <w:b/>
        </w:rPr>
        <w:t xml:space="preserve">Quelle: </w:t>
      </w:r>
      <w:r>
        <w:t>https://mcp.opencaselaw.ch/entscheid/bge_117 IA 452</w:t>
      </w:r>
    </w:p>
    <w:p>
      <w:r>
        <w:t>FR: BGE 117 IA 452 du 30 janvier 1991</w:t>
      </w:r>
    </w:p>
    <w:p>
      <w:r>
        <w:t>IT: BGE 117 IA 452 del 30 gennaio 1991</w:t>
      </w:r>
    </w:p>
    <w:p>
      <w:pPr>
        <w:pStyle w:val="Heading2"/>
      </w:pPr>
      <w:r>
        <w:t>Regeste</w:t>
      </w:r>
    </w:p>
    <w:p>
      <w:r>
        <w:t>Regeste Art. 85 lit. a OG: Wahl eines Bezirksgerichts; behördliche Intervention. 1. Zulässigkeit von behördlichen oder privaten Informationen vor Sachabstimmungen oder Wahlen im allgemeinen (E. 3). 2. Besonderheiten bei Richterwahlen (E. 4). 3. Beurteilung der Aussagen des Obergerichtspräsidenten über die Zustände an einem Bezirksgericht im Vorfeld der Gesamterneuerungswahl (E. 5a); Verhalten der politischen Partei und weitere Umstände des Wahlganges (E. 5b-d). 4. Kein entscheidender Einfluss der gerügten Unregelmässigkeiten auf den Wahlausgang (E. 6).</w:t>
      </w:r>
    </w:p>
    <w:p>
      <w:pPr>
        <w:pStyle w:val="Heading2"/>
      </w:pPr>
      <w:r>
        <w:t>Erwägungen</w:t>
      </w:r>
    </w:p>
    <w:p>
      <w:r>
        <w:rPr>
          <w:b/>
        </w:rPr>
        <w:t>E. 3</w:t>
      </w:r>
    </w:p>
    <w:p>
      <w:r>
        <w:t>Der Beschwerdeführer macht mit der vorliegenden Beschwerde zur Hauptsache geltend, das Wahlrecht sei durch eine unzulässige Beeinflussung der Wähler verletzt worden. Die Stimmbürger hätten ihren Willen angesichts des Interviews des Obergerichtspräsidenten und der ausgedehnten Pressekampagne nicht frei äussern können. a) Das vom Verfassungsrecht des Bundes gewährleistete Stimm- und Wahlrecht räumt dem Bürger allgemein den Anspruch darauf ein, dass kein Abstimmungs- oder Wahlergebnis anerkannt wird, das nicht den freien Willen der Stimmbürger zuverlässig und unverfälscht zum Ausdruck bringt ( BGE 114 Ia 432 E. 4a, BGE 113 Ia 52 und 294, BGE 102 Ia 268 E. 3, mit Hinweisen). Es soll garantiert werden, dass jeder Stimmbürger seinen Entscheid gestützt auf einen möglichst freien und umfassenden Prozess der Meinungsbildung treffen kann ( BGE 114 Ia 432 E. 4a, BGE 113 Ia 294 E. 3a, BGE 98 Ia 79 , mit Hinweisen). Das Ergebnis eines Urnengangs kann unter anderem durch eine unzulässige Beeinflussung der Willensbildung der Stimmbürger verfälscht werden. Dies trifft insbesondere bei gewissen Informationen im Vorfeld von Urnengängen zu. Die Praxis des Bundesgerichts hat die Zulässigkeit von solchen Informationen in verschiedener Hinsicht differenziert. b) Nach der Rechtsprechung sind gewisse behördliche Informationen zu Sachabstimmungen wie etwa Abstimmungserläuterungen zulässig, in denen eine Vorlage zur Annahme empfohlen wird und die Gründe dargelegt werden, welche für die Mehrheit des Parlaments ausschlaggebend gewesen sind ( BGE 112 Ia 335 E. c, BGE 117 Ia 452 S. 456 BGE 106 Ia 200 , mit Hinweisen). Eine unerlaubte Beeinflussung liegt indessen dann vor,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114 Ia 432 E. 4a, 113 Ia 335 E. b, mit Hinweisen). Das Bundesgericht hat das Eingreifen der Behörde in den Abstimmungskampf nur als Ausnahme zugelassen und auf Fälle beschränkt, in denen triftige Gründe für eine solche Intervention gegeben waren ( BGE 114 Ia 433 E. c, mit Hinweisen). Es hat dabei unterschiedliche Konstellationen beurteilt (vgl. BGE 114 Ia 433 E. c): Zum einen Informationen desjenigen Gemeinwesens, das die Abstimmung selber durchführte (vgl. BGE 112 Ia 332 , insbes. 337); zum andern ein Eingreifen einer Gemeinde in den Abstimmungskampf über eine kantonale Vorlage ( BGE 108 Ia 155 , insbesondere 158 ff., BGE 105 Ia 244 ); schliesslich war in einem Fall eine Beeinflussung der Abstimmung des untergeordneten Gemeinwesens durch das übergeordnete streitig ( BGE 114 Ia 427 , insbes. 434 f.). Stellt das Bundesgericht derartige Mängel fest, so hebt es indessen die Abstimmung nur auf,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113 Ia 59 , 112 Ia 338, mit Hinweisen). Nach der bundesgerichtlichen Rechtsprechung können auch private Informationen zu Sachabstimmungen in unzulässiger Weise die Willensbildung der Stimmbürger beeinflussen. Von einer unzulässigen Einwirkung wird dann gesprochen, wenn mittels BGE 117 Ia 452 S. 457 privater Publikationen in einem so späten Zeitpunkt mit offensichtlich unwahren und irreführenden Angaben in den Abstimmungskampf eingegriffen wird, dass es dem Bürger nach den Umständen unmöglich ist, sich aus andern Quellen ein zuverlässiges Bild von den tatsächlichen Verhältnissen zu machen ( BGE 98 Ia 80 , 625 f., BGE 102 Ia 268 f., ZBl 81/1980 S. 251). Einflüsse dieser Art vermögen indessen nur ausnahmsweise die Aufhebung einer Abstimmung zu rechtfertigen. Verstösse von privater Seite gegen die guten Abstimmungssitten und die Verwendung von falschen und irreführenden Angaben im Abstimmungskampf lassen sich, so verwerflich sie auch immer sein mögen, nicht völlig ausschliessen und sind daher in gewissem Ausmasse in Kauf zu nehmen. Eine Aufhebung einer Abstimmung kann daher nur mit grösster Zurückhaltung in Betracht gezogen werden; überdies kommt die Kassation lediglich dann in Frage, wenn die Auswirkungen der beanstandeten unerlaubten Beeinflussung auf das Abstimmungsergebnis ausser Zweifel stehen oder zumindest sehr wahrscheinlich sind ( BGE 98 Ia 80 , 625 f., BGE 102 Ia 268 f., ZBl 81/1980 S. 251). c) In bezug auf Wahlen hat das Bundesgericht ein behördliches Eingreifen in den Wahlkampf grundsätzlich ausgeschlossen.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offensichtlich falscher Informationen, die im Verlaufe eines Wahlkampfes verbreitet werden, als zulässig erscheinen; indessen dürfte die Behörde bei einer solchen Gelegenheit nicht selber Wahlpropaganda betreiben oder einen Kandidaten verunglimpfen (BGE BGE 113 Ia 296 f., BGE 114 Ia 433 ). - Stellt das Bundesgericht in dieser Hinsicht Mängel fest, so hebt es die Wahl nach den gleichen Grundsätzen auf wie im Falle von mangelhaften Sachabstimmungen infolge unzulässiger behördlicher Informationen ( BGE 113 Ia 302 , mit Hinweisen). Schliesslich hat das Bundesgericht schon Angelegenheiten beurteilt, in denen die Rechtmässigkeit von Einwirkungen auf Wahlen von privater Seite in Frage standen. Es hat dazu allgemein festgehalten, BGE 117 Ia 452 S. 458 dass gewisse unsachliche, übertreibende oder gar unwahre Behauptungen im Wahlkampf kaum vermieden werden könnten und diese trotz ihrer Verwerflichkeit die nachträgliche Kassation einer Wahl in der Regel nicht rechtfertigten. Aus praktischen Gründen sei auch hier grösste Zurückhaltung geboten. Eine Wiederholung einer Wahl könne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Soweit wie im vorliegenden Fall die Wahl von richterlichen Behörden in Frage steht, fällt dem einzelnen Stimmbürger eine Beurteilung der Kandidaten oftmals schwer. Insbesondere die fachliche Qualifikation der Kandidaten kann nicht leicht abgeschätzt werden, auch wenn der Bürger aufgrund der Öffentlichkeit der Gerichtsverhandlungen unmittelbar und aufgrund der Gerichtsberichterstattung in den Medien mittelbar davon Kenntnis erhalten kann, wie das Recht verwaltet und die Rechtspflege ausgeübt wird ( BGE 113 Ia 319 f.). Auf der andern Seite unterliegt ein Bezirksgericht, dessen Mitglieder vom Volk gewählt werden, nicht nur der demokratischen Kontrolle. Vielmehr übt der Kantonsrat die Oberaufsicht über die Rechtspflege aus, wofür ihm das Obergericht jährlich u.a. Bericht über die seiner direkten Aufsicht unterstellten Bezirksgerichte erstattet (§ 105 und § 106 Abs. 1 des Gerichtsverfassungsgesetzes, GVG). Die Aufsichtsbehörden haben insbesondere für einen ordentlichen Gang der Justiztätigkeit sowie für eine Prozesserledigung innert der durch Art. 4 BV und Art. 6 Ziff. 1 EMRK gebotenen Fristen zu sorgen. Nach § 108 GVG kann die Aufsichtsbehörde auf Beschwerde hin oder von Amtes wegen organisatorische Massnahmen und insbesondere gestützt auf das Ordnungsstrafengesetz des Kantons Zürich disziplinarische Verfügungen (Verweis und Busse nach Art. 4 Abs. 1) ergreifen. Immerhin können die vom Volk gewählten Beamten und Angestellten auch nach dem Ordnungsstrafengesetz nicht in ihrem Dienst eingestellt werden (§ 4 Abs. 3). BGE 117 Ia 452 S. 459 Abgesehen von individuellen Erfahrungen kommt daher für den Entscheid, welchem Kandidaten der einzelne Stimmbürger seine Stimme gibt, den Wahlvorschlägen der politischen Gruppierungen ausschlaggebende Bedeutung zu; der Stimmbürger wird weitgehend darauf vertrauen (müssen), dass die politischen Parteien ihre Kandidaten sorgfältig ausgesucht haben. Daneben können indessen gerade auch Informationen über die Qualifikation eines Kandidaten, welche von amtlicher Seite stammen, für den Stimmbürger eine wichtige Rolle spielen. Dazu gehören sowohl allgemeine amtliche Berichte wie etwa Geschäfts- oder Rechenschaftsberichte, die ohne grösseren Aufwand konsultiert werden können, als auch spezielle Informationen im Vorfeld eines Wahlganges.</w:t>
      </w:r>
    </w:p>
    <w:p>
      <w:r>
        <w:rPr>
          <w:b/>
        </w:rPr>
        <w:t>E. 5</w:t>
      </w:r>
    </w:p>
    <w:p>
      <w:r>
        <w:t>Ausgangspunkt der Auseinandersetzungen um die streitige Bezirksrichterwahl war unbestrittenermassen das Interview, das der Obergerichtspräsident dem Journalisten gewährt hatte und das mit dessen Zustimmung Ende Dezember 1989 erschien. In diesem Zeitungsartikel war von der Forderung nach einer echten Wahlmöglichkeit und dem Anliegen nach einer weiblichen Vertretung die Rede; zum andern wurde Kritik an der Amtsführung des Beschwerdeführers während der zu Ende gehenden Amtsperiode geübt, und der Beschwerdeführer erhielt Gelegenheit zur Entgegnung. a) Die Kritik an der Amtsführung des Beschwerdeführers geht unbestrittenermassen auf das Interview des Obergerichtspräsidenten und den darauf erschienenen Artikel zurück. Sie bezieht sich auf die am Bezirksgericht seit Jahren vorhandenen grossen Rückstände; als Gründe hierfür wurden Probleme "im personellen Bereich" angegeben; weiter wurden darin die aufsichtsrechtlichen Massnahmen des Obergerichts erwähnt. Diese Tatsachen sind im wesentlichen unbestritten. Sie ergeben sich auch weitgehend aus den verschiedenen Akten. Insbesondere beschäftigte sich die Verwaltungskommission des Obergerichts in ihren jährlichen sog. Zensurbeschlüssen seit Jahren in ausserordentlichem (und zunehmendem) Umfang mit der Situation am Bezirksgericht und ordnete verschiedenste Aufsichtsmassnahmen an; dazu zählten u.a. eine Spezialberichterstattung über eine grosse Zahl von Pendenzen, der Einsatz des Gerichtsschreibers als ausserordentlicher nebenamtlicher Einzelrichter mit speziellen Befugnissen und die Empfehlung an den Beschwerdeführer, von gewissen arbeitsaufwendigen Ämtern zurückzutreten. Im Rechenschaftsbericht BGE 117 Ia 452 S. 460 des Obergerichts an den Kantonsrat für das Jahr ... wurde auf die Pendenzen am Bezirksgericht hingewiesen und als Grund dafür angegeben, dass die Verfahren häufige und lange Bearbeitungslücken aufwiesen. Die Justizverwaltungskommission befasste sich ebenfalls mit der Situation am Bezirksgericht und führte vor dem Kantonsrat aus, dass die Art der Bearbeitungspausen zeige, dass es nicht an der personellen Kapazität, sondern an einer konsequenten Prozessleitung durch den Gerichtspräsidenten fehle. - Welches die Gründe für die Pendenzen im einzelnen sind, ist streitig. Der Beschwerdeführer macht in dieser Hinsicht geltend, dass das Bezirksgericht seit Jahren über zu wenig juristisches Personal verfüge; das Gericht habe das Obergericht in seinen Berichterstattungen seit Jahren auf diesen Zustand aufmerksam gemacht. Darüber hinaus wendet er ein, dass sich die Situation insbesondere im Jahre 1989 gebessert habe, was sich mit der Berichterstattung belegen lässt. - Im vorliegenden Fall braucht nicht abgeklärt zu werden, welche Ursachen im einzelnen zu den Pendenzen und Rückständen geführt haben. Es ist daher auch nicht auf die unzähligen Vorbringen der Parteien im bundesgerichtlichen Verfahren einzugehen. Das Interview, das der Obergerichtspräsident dem Journalisten gewährt hat, stellt unabhängig vom Inhalt klarerweise eine Intervention in die Auseinandersetzung um die Erneuerungswahlen dar. Nach der oben dargelegten Systematik handelt es sich dabei um ein Eingreifen von behördlicher Seite des übergeordneten kantonalen Gemeinwesens in die Wahl auf der untergeordneten Bezirksstufe. Ein solches Handeln ist nach der dargelegten Rechtsprechung grundsätzlich ausgeschlossen und kommt lediglich ganz ausnahmsweise in Frage, wenn es im Interesse der freien und unverfälschten Willensbildung und -betätigung als unerlässlich erscheint. Wie es sich damit verhält, lässt sich nicht leicht beurteilen. Eine gewisse Information über die Art und Weise der Prozessführung am Bezirksgericht kann für den einzelnen Stimmbürger durchaus wichtig und wertvoll sein. Sie erlaubt es ihm, die Wahl verantwortungsvoll und in Kenntnis der Sachlage zu treffen. Letztlich geht es dabei um das Vertrauen in die Justiz, welche nicht nur unparteiisch und unabhängig sein (vgl. BGE 114 Ia 55 f.), sondern auch kompetent und innert Fristen, welche den Anforderungen von Art. 4 BV und Art. 6 Ziff. 1 EMRK gerecht werden, entscheiden soll. - Der Regierungsrat hat im angefochtenen Entscheid zu BGE 117 Ia 452 S. 461 Recht festgehalten, dass das Interview im Ton sachlich und nicht polemisch gehalten sei. Es können darin keine parteipolitischen Interessen oder gar eine eigentliche Wahlpropaganda zugunsten eines andern Kandidaten erblickt werden. Ebensowenig stellt das Interview eine Verunglimpfung des Beschwerdeführers dar. - Immerhin ist es sehr fraglich, ob die streitigen Informationen im gegebenen Zeitpunkt ausgerechnet vom Präsidenten des die Aufsicht führenden Obergerichts erteilt werden durften. Zum einen hätte der Journalist ohne weiteres auf die amtlichen Dokumente wie die Rechenschaftsberichte des Obergerichts und die Diskussion im Kantonsrat verwiesen werden können. Zum andern verfügt die Aufsichtsbehörde grundsätzlich über andere Mittel der Intervention. Mit dem Beschwerdeführer kann die Frage aufgeworfen werden, ob die Aufsichtsbehörde - in Anbetracht der angeblich alarmierenden Zustände - nicht schon in einem früheren Zeitpunkt mit zusätzlichen administrativen und disziplinarischen Massnahmen hätte eingreifen müssen, unter Wahrung der Verfahrensrechte des Beschwerdeführers. In dieser Hinsicht erweist sich das Interview des Obergerichtspräsidenten tatsächlich als problematisch. Die Frage der Zulässigkeit der Intervention des Obergerichtspräsidenten braucht indessen angesichts der nachfolgenden Erwägungen nicht abschliessend beurteilt zu werden. b) Das streitige Interview erschien Ende Dezember 1989. Daraufhin nahm die SVP an ihrer ausserordentlichen Delegiertenversammlung Ende Januar 1990 eine neue Lagebeurteilung vor und änderte ihre Wahlvorschläge ab, indem sie auf einen Sitz verzichtete und anstelle des Beschwerdeführers M. als Mitglied und Präsidenten nominierte. Dem Protokoll der Versammlung kann entnommen werden, dass wegen der Kritik an der Überalterung und dem Ruf nach Einsitz einer Frau auf einen Sitz verzichtet worden ist. Zum andern war es der Zeitungsartikel, der Anlass zu erneuten Abklärungen und schliesslich zum Verzicht auf die Kandidatur des Beschwerdeführers und zur Nomination von M. gab. Dieser Hergang der Ereignisse zeigt, dass es vorerst einmal die Partei selber war, welche ihre Nomination in Wiedererwägung zog und hierfür Erkundigungen beim obergerichtlichen Referenten einholte. Es war also die Partei, welche auf ihre ursprüngliche Nomination zurückkam und einen andern Kandidaten vorschlug. Sie tat dies nach erneuter Diskussion aus eigenem Entschluss und BGE 117 Ia 452 S. 462 wollte damit offenbar ihre Verantwortung gegenüber dem Stimmbürger wahrnehmen. Sie war gestützt auf die Anordnung des Bezirksamtes frei, ihre Nominationen noch bis Ende Januar 1990 zu ergänzen, zu ändern oder zurückzuziehen. Es standen einer Änderung der Wahlvorschläge auch sonst keine rechtlichen Hindernisse entgegen. Auch kann ihr nicht vorgeworfen werden, sich beim Obergericht nochmals eingehend erkundigt zu haben. Ihr Vorgehen kann unter dem Gesichtswinkel des Stimm- und Wahlrechts in keiner Weise beanstandet werden. Insbesondere kann darin keine unzulässige Beeinflussung der Stimmbürger erblickt werden, welche eine freie und ungehinderte Willensäusserung beeinträchtigt hätte. Mit der neuen Unterstützung von M. anstelle des Beschwerdeführers ist die Partei an die Öffentlichkeit gelangt und hat ihren für den Ausgang wichtigen Wahlvorschlag den Wählern unterbreitet; sie hat ihr Vorgehen zudem den Parteifreunden in einem offenen Brief erläutert. Es ist verständlich, dass dieser Schritt der Partei unter den Wählern und in den Zeitungen einiges zu reden gab, was unter dem Gesichtswinkel des Stimm- und Wahlrechts ebenfalls in keiner Weise zu beanstanden ist. Der Beschwerdeführer kann der SVP zum Wechsel der Nomination daher in rechtlicher Hinsicht auch keinen Vorwurf machen, gehört es doch zum Risiko einer Wahl, dass die portierende Gruppierung selbst einen eigenen Kandidaten überhaupt nicht unterstützt oder wie im vorliegenden Fall im Stich lässt. (...) d) Schliesslich beanstandet der Beschwerdeführer auch die Berichterstattung in der Presse. Angesichts des Verhaltens der SVP und ihrer neuen Wahlvorschläge ist es nicht weiter erstaunlich und nicht zu beanstanden, dass die Presse ausgiebig über die Bezirksgerichtswahlen berichtete. Soweit darin Kritik an der Amtsführung des Beschwerdeführers geübt wurde, beruhte sie auf gewissen unbestrittenen Tatsachen wie etwa der ungewöhnlich grossen Zahl von Pendenzen und der langen Prozessdauer sowie auf Informationen der SVP selber. Darüber hinaus hatte auch der Beschwerdeführer Gelegenheit, sich in der Presse zu Wort zu melden und seinen Standpunkt zu vertreten. Gesamthaft gesehen kann daher die Berichterstattung in der Presse nicht in einem Ausmass als unsachlich, übertrieben oder unwahr bezeichnet werden, als dass sie im Lichte der oben dargelegten Rechtsprechung als unzulässig erscheinen würde.</w:t>
      </w:r>
    </w:p>
    <w:p>
      <w:r>
        <w:rPr>
          <w:b/>
        </w:rPr>
        <w:t>E. 6</w:t>
      </w:r>
    </w:p>
    <w:p>
      <w:r>
        <w:t>Unabhängig von der Frage nach der Zulässigkeit des Interviews des Obergerichtspräsidenten ist im folgenden im Sinne BGE 117 Ia 452 S. 463 der oben dargelegten Grundsätze zu prüfen, ob der gerügte Mangel das Wahlergebnis beeinflusst haben könnte. In dieser Hinsicht ist vorerst einmal festzuhalten, dass der Beschwerdeführer in keiner Weise daran gehindert worden ist, sich um einen Sitz am Bezirksgericht zu bewerben und sich der Wahl zu stellen. Er konnte sich, soweit ersichtlich, während des Wahlkampfes frei äussern und hatte auch Zugang zur Presse. Das Interview des Obergerichtspräsidenten war grundsätzlich geeignet, einen erheblichen Einfluss auszuüben, da es von kompetenter Seite her stammt und einen für den Wähler nur schwer zu beurteilenden Bereich betrifft. So ist es denn auch nicht weiter umstritten, dass dieses Interview die Diskussionen um den Bezirksgerichtspräsidenten im wesentlichen auslöste. Die Auswirkungen des Interviews auf das Wahlergebnis werden indessen durch eine Reihe von Umständen gemindert, welche gewissermassen die Kausalität unterbrechen. Zum einen ist die SVP auf ihre ursprüngliche Nomination zurückgekommen und hat im Anschluss an die ausserordentliche Delegiertenversammlung M. als Kandidaten vorgeschlagen. Angesichts der Bedeutung von Wahlvorschlägen insbesondere bei Richterwahlen hat damit die Partei selber einen wesentlichen Beitrag zur Nichtwahl des Beschwerdeführers beigetragen, der unabhängig vom streitigen Interview gewichtet werden muss und nicht der Intervention des Obergerichtspräsidenten zugeordnet werden kann. Zum andern war eine gewisse Kritik an den Zuständen am Bezirksgericht und an der Amtsführung des Beschwerdeführers aufgrund des Rechenschaftsberichtes des Obergerichts und der Diskussion im Kantonsrat bereits bekannt und damals in der Lokalpresse verbreitet worden. Es hätte demnach auch ohne das streitige Interview auf diese allgemein zugänglichen Informationen zurückgegriffen werden können. Und angesichts einer gewissen Opposition gegen die ersten Wahlvorschläge der SVP kann auch durchaus angenommen werden, dass davon Gebrauch gemacht worden wäre. Es darf ferner berücksichtigt werden, dass der streitige Artikel zu einem sehr frühen Zeitpunkt erschienen ist. In jenem Moment hat sich der durchschnittliche Stimmbürger noch nicht im einzelnen mit der erst mehr als drei Monate später angesetzten Wahl auseinandergesetzt. Der Zeitpunkt erlaubte es zudem, dass zu den Ausführungen Stellung genommen und der Standpunkt des Beschwerdeführers dargelegt werden konnten. BGE 117 Ia 452 S. 464 Schliesslich dürfen auch die Stimmenverhältnisse in Betracht gezogen werden. Bei einem absoluten Mehr von 3409 Stimmen erreichten die bisherigen Richter A., B. und C. 5423, 5374 und 4688 Stimmen. Die neuen Mitglieder D. und M. erhielten 4596 und 4438 Stimmen. Der Beschwerdeführer erreichte mit 3708 Stimmen zwar das absolute Mehr, fiel aber als überzählig aus der Wahl. Trotz dieses beachtlichen Resultats besteht gegenüber M. eine Differenz von 730 Stimmen. Entgegen der Auffassung des Beschwerdeführers kann bei einer Wahl von fünf Richtern mit einer Zahl von acht Kandidaten mit nennenswerter Stimmenzahl trotz der Konkurrenzsituation zwischen den Juristen K. und M. der Stimmenunterschied nicht einfach halbiert werden. Selbst bei der Berechnung des Beschwerdeführers verbleibt eine Stimmendifferenz von rund 10 Prozent. Diese ist so gewichtig, dass ein anderer Wahlausgang nicht leichthin angenommen werden kann. Gesamthaft gesehen zeigt sich somit, dass die gerügten Unregelmässigkeiten den Wahlausgang nicht entscheidend beeinflusst haben. Die Möglichkeit, dass die Wahl ohne das Interview des Obergerichtspräsidenten anders ausgefallen wäre, erscheint in Anbetracht der gesamten Umstände als derart gering, dass von einer Aufhebung des Urnenganges abgesehen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